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ZP-2380-400-71/2018</w:t>
        <w:tab/>
        <w:tab/>
        <w:tab/>
        <w:tab/>
        <w:tab/>
        <w:tab/>
        <w:tab/>
        <w:tab/>
      </w:r>
      <w:r>
        <w:rPr>
          <w:rFonts w:ascii="Times New Roman" w:hAnsi="Times New Roman"/>
          <w:sz w:val="20"/>
          <w:szCs w:val="20"/>
        </w:rPr>
        <w:t>Załącznik nr 3 do SIWZ</w:t>
      </w:r>
    </w:p>
    <w:p>
      <w:pPr>
        <w:pStyle w:val="Normal"/>
        <w:jc w:val="left"/>
        <w:rPr>
          <w:sz w:val="24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sz w:val="24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Dostawa telefonów IP dla </w:t>
      </w:r>
      <w:r>
        <w:rPr>
          <w:rFonts w:ascii="Times New Roman" w:hAnsi="Times New Roman"/>
          <w:sz w:val="24"/>
        </w:rPr>
        <w:t>KMP Siemianowice oraz KMP Świętochłowice</w:t>
      </w:r>
    </w:p>
    <w:p>
      <w:pPr>
        <w:pStyle w:val="Normal"/>
        <w:jc w:val="lef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jc w:val="left"/>
        <w:rPr>
          <w:rFonts w:ascii="TimesNewRomanPS-BoldMT" w:hAnsi="TimesNewRomanPS-BoldMT"/>
          <w:b/>
          <w:b/>
          <w:sz w:val="20"/>
        </w:rPr>
      </w:pPr>
      <w:r>
        <w:rPr>
          <w:rFonts w:ascii="Times New Roman" w:hAnsi="Times New Roman"/>
          <w:b/>
          <w:sz w:val="20"/>
        </w:rPr>
        <w:t>OPIS PRZEDMIOTU ZAMÓWIENIA</w:t>
      </w:r>
    </w:p>
    <w:p>
      <w:pPr>
        <w:pStyle w:val="Normal"/>
        <w:jc w:val="left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jc w:val="left"/>
        <w:rPr>
          <w:rFonts w:ascii="TimesNewRomanPS-BoldMT" w:hAnsi="TimesNewRomanPS-BoldMT"/>
          <w:b/>
          <w:b/>
          <w:sz w:val="20"/>
        </w:rPr>
      </w:pPr>
      <w:r>
        <w:rPr>
          <w:rFonts w:ascii="Times New Roman" w:hAnsi="Times New Roman"/>
          <w:b/>
          <w:sz w:val="20"/>
        </w:rPr>
        <w:t>Telefon IP grupy I – Cisco 8841 lub równoważny – 220 szt.</w:t>
      </w:r>
    </w:p>
    <w:p>
      <w:pPr>
        <w:pStyle w:val="Normal"/>
        <w:jc w:val="left"/>
        <w:rPr>
          <w:rFonts w:ascii="TimesNewRomanPS-BoldMT" w:hAnsi="TimesNewRomanPS-BoldMT"/>
          <w:b/>
          <w:b/>
          <w:sz w:val="20"/>
        </w:rPr>
      </w:pPr>
      <w:r>
        <w:rPr>
          <w:rFonts w:ascii="Times New Roman" w:hAnsi="Times New Roman"/>
          <w:b/>
          <w:sz w:val="20"/>
        </w:rPr>
        <w:t>Telefon IP grupy II – Cisco 8865 z kamerą i przystawką BKEM lub równoważny – 40 szt.</w:t>
      </w:r>
    </w:p>
    <w:p>
      <w:pPr>
        <w:pStyle w:val="Normal"/>
        <w:jc w:val="left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jc w:val="left"/>
        <w:rPr>
          <w:rFonts w:ascii="TimesNewRomanPS-BoldMT" w:hAnsi="TimesNewRomanPS-BoldMT"/>
          <w:b/>
          <w:b/>
          <w:sz w:val="20"/>
        </w:rPr>
      </w:pPr>
      <w:r>
        <w:rPr>
          <w:rFonts w:ascii="Times New Roman" w:hAnsi="Times New Roman"/>
          <w:b/>
          <w:sz w:val="20"/>
        </w:rPr>
        <w:t>Zasilacz do telefonów IP Cisco serii 99xx i 88xx – Cisco CP-PWR-CUBE-4 lub równoważny – 40 szt.</w:t>
      </w:r>
    </w:p>
    <w:p>
      <w:pPr>
        <w:pStyle w:val="Normal"/>
        <w:jc w:val="left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jc w:val="left"/>
        <w:rPr>
          <w:rFonts w:ascii="TimesNewRomanPS-BoldMT" w:hAnsi="TimesNewRomanPS-BoldMT"/>
          <w:b/>
          <w:b/>
          <w:sz w:val="20"/>
        </w:rPr>
      </w:pPr>
      <w:r>
        <w:rPr>
          <w:rFonts w:ascii="Times New Roman" w:hAnsi="Times New Roman"/>
          <w:b/>
          <w:sz w:val="20"/>
        </w:rPr>
        <w:t>Telefon IP grupy I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 Urządzenie musi wspierać następujące kodeki audio: G.722, G.711a, G.711μ, G.729a oraz Internet Low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Bitrate Codec (iLBC)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 Urządzenie musi posiadać duży, o przekątnej min. 5 cali, podświetlany, kolorowy ekran wysokiej jakości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(minimum 800x480 pikseli i 24-bitowej głębi koloru), umożliwiający jego wygodną obsługę, odczytywanie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informacji i wywoływanie funkcji urządzenia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 Urządzenie musi być ciemnego koloru, preferowany kolor czarny lub grafitowy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 Urządzenie musi obsługiwać co najmniej 5 linii (numerów telefonicznych). Musi posiadać co najmniej 5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przycisków z podświetleniem wbudowanym w przycisk, umożliwiających wybór linii oraz obserwację jej stanu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(zajętość/dostępność) lub obserwację stanu linii innego urządzenia w systemie (standard Cisco BLF), bądź też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uzyskanie sygnalizacji o połączeniu przychodzącym na inny numer telefonu w ramach utworzonej Pick Up grupy.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 W zakresie bezpieczeństwa urządzenie musi pozwalać na: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a) zabezpieczenie komunikacji z serwerem sterującym za pomocą TLS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b) zabezpieczenie strumienia audio za pomocą SRTP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c) zabezpieczenie całej komunikacji urządzenia (także komunikacji związanej z komputerem PC dołączonym do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urządzenia), poprzez zestawienie tunelu VPN z wbudowanego w telefon oprogramowania klienckiego VPN do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koncentratora VPN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 Urządzenie musi na bieżąco w czasie trwania rozmowy umożliwiać wyświetlanie lokalnie na jego ekranie,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a także zdalnie poprzez przeglądarkę internetową, informacji diagnostycznych o połączeniu (rodzaj kodeka, liczba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wysłanych, odebranych i zgubionych pakietów, opóźnienie oraz zmienność opóźnienia przesyłanych pakietów: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średni i maksymalny jitter) – używane dla celów diagnostycznych w przypadku konieczności diagnozowania przez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administratorów problemów z jakością transmisji głosu w systemie telekomunikacyjnym.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 Urządzenie musi posiadać wbudowany system głośnomówiący (tzw. speakerphone), umożliwiający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prowadzenie rozmowy bez podnoszenia słuchawki i działający w trybie full-dupleks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8. Urządzenie musi posiadać, co najmniej 5 przycisków kontekstowych z podświetleniem wbudowanym w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przycisk, których funkcje zależą od stanu (np. inne, gdy nie ma połączenia – np. przeglądanie historii połączeń, inne,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gdy jest połączenie, inne, gdy jest połączenie przychodzące, inne, gdy połączenie jest zawieszone)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9. Urządzenie musi posiadać posiadać co najmniej następujące dedykowane przyciski: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a) przycisk przekierowania rozmowy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b) przycisk zawieszenia połączenia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c) przycisk do włączenia połączenia konferencyjnego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d) przycisk dostępu do listy kontaktów w ramach systemowej lub osobistej książki telefonicznej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e) przycisk dostępu do poczty głosowej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f) przycisk dostępu do Menu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g) przycisk sterujący głośnością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h) przycisk wyłączenia mikrofonu Mute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i) przycisk do włączenia systemu nagłownego dla prowadzonej rozmowy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j) przycisk do włączenia systemu głośnomówiącego dla prowadzonej rozmowy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10. Urządzenie musi posiadać posiadać cztero-kierunkowy (góra/dół/lewo/prawo) przycisk nawigacyjny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umożliwiający poruszanie się po menu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11. Urządzenie musi umożliwiać dostęp do systemowej książki telefonicznej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12. Urządzenie musi posiadać wbudowany przełącznik Ethernet, z dwoma portami 10/100/1000 Mbps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13. Port przełącznika urządzenia w kierunku przełącznika sieciowego powinien wspierać trunking 802.1q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celem odseparowania ruchu głosu i ruchu danych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14. Urządzenie musi posiadać funkcjonalność detekcji vlanu głosowego poprzez LLDP-MED oraz negocjację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poziomu zasialnia PoE poprzez LLDP-MED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15. Transmisja głosu oraz danych z komputera PC dołączonego do urządzenia muszą być przesyłane w dwóch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różnych sieciach VLAN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16. Urządzenie musi zapewniać wsparcie dla protokołu sterującego SIP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17. Urządzenie musi posiadać menu w języku polskim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18. Urządzenie musi umożliwiać zasilanie go z sieci komputerowej LAN zgodnie ze standardem IEEE POE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(802.3af i 802.3at) oraz z wykorzystaniem lokalnych zasilaczy (transformujących napięcie z sieci 230V).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Zamawiający nie wymaga, aby telefony dostarczone były w komplecie z zasilaczami, telefony muszą jedynie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współpracować z dostępnymi na rynku zasilaczami w przypadku konieczności ich zastosowania (brak switcha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z POE).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19. Urządzenie musi obsługiwać aplikacje w języku XML, w tym aplikacje XML innych producentów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20. Urządzenie musi współpracować z Cisco Unified Communications Manager (CUCM) , w wersji co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najmniej 8.6.2 oraz wersją 11.5 i 12.0. Zamawiający posiada wystarczającą liczbę licencji do uruchomienia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telefonów będących przedmiotem zamówienia.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21. Urządzenie musi obsługiwać pobieranie oraz wymianę plików konfiguracyjnych oraz oprogramowania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z systemu zarządzania połączeniami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22. Urządzenie musi obsługiwać oprogramowanie (firmware) podpisany cyfrowo przez producenta oraz pliki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konfiguracyjne zaszyfrowane przez system zarządzania połączeniami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23. Urządzenie współpracuje z systemem zarządzania połączeniami (CUCM - Cisco Unified Communications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Manager) poprzez zarejestrowanie się w systemie w sposób umożliwiający zdalne, scentralizowane zarządzanie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i konfigurację w zakresie: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a) zmiany numeru linii abonenta,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b) edycji opisu linii abonenta,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c) konfiguracji ustawień i opisów klawiszy aparatu,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d) konfiguracji uprawnień urządzenia do posiadanych zasobów konferencyjnych,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e) konfiguracji uprawnień oraz klasy usług abonenckich,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f) wykonania zdalnego restartu urządzenia z wymuszeniem pobrania nowej konfiguracji,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g) wykonania zdalnego resetu urządzenia z wymuszeniem pobrania nowego oprogramowania (firmware) oraz nowej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konfiguracji,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h) uruchomienia w urządzeniu funkcji bezpieczeństwa (TLS oraz SRTP),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i) uruchomienia w urządzeniu serwisu logowania abonenta na telefonie,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j) dodania do urządzenia serwisów XML.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24. Urządzenie musi obsługiwać protokół IP w wersji 4 i 6 (Ipv4 oraz Ipv6)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25. Urządzenie musi posiadać możliwość konfiguracji adresu IPv4 dynamicznie (DHCP) i statycznie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26. </w:t>
      </w:r>
      <w:r>
        <w:rPr>
          <w:rFonts w:ascii="Times New Roman" w:hAnsi="Times New Roman"/>
          <w:sz w:val="20"/>
        </w:rPr>
        <w:t>Gwarancja minimum 12 miesięcy, lecz nie mniej niż gwarancja producenta.</w:t>
      </w:r>
    </w:p>
    <w:p>
      <w:pPr>
        <w:pStyle w:val="Normal"/>
        <w:jc w:val="left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jc w:val="left"/>
        <w:rPr>
          <w:rFonts w:ascii="TimesNewRomanPS-BoldMT" w:hAnsi="TimesNewRomanPS-BoldMT"/>
          <w:b/>
          <w:b/>
          <w:sz w:val="20"/>
        </w:rPr>
      </w:pPr>
      <w:r>
        <w:rPr>
          <w:rFonts w:ascii="Times New Roman" w:hAnsi="Times New Roman"/>
          <w:b/>
          <w:sz w:val="20"/>
        </w:rPr>
        <w:t>Telefon grupy II z kamerą i przystawką klawiszy szybkiego wybierania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 Urządzenie musi wspierać następujące kodeki audio: G.722, G.711a, G.711μ, G.729a oraz Internet Low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Bitrate Codec (iLBC)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2. Urządzenie musi posiadać duży, o przekątnej min. 5 cali, podświetlany, kolorowy ekran wysokiej jakości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(minimum 800x480 pikseli i 24-bitowej głębi koloru), umożliwiający jego wygodną obsługę, odczytywanie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informacji i wywoływanie funkcji urządzenia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3. Urządzenie musi być ciemnego koloru, preferowany kolor czarny lub grafitowy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4. Urządzenie musi obsługiwać co najmniej 5 linii (numerów telefonicznych). Musi posiadać co najmniej 5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przycisków z podświetleniem wbudowanym w przycisk, umożliwiających wybór linii oraz obserwację jej stanu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(zajętość/dostępność) lub obserwację stanu linii innego urządzenia w systemie (standard Cisco BLF), bądź też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uzyskanie sygnalizacji o połączeniu przychodzącym na inny numer telefonu w ramach utworzonej Pick Up grupy.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5. W zakresie bezpieczeństwa urządzenie musi pozwalać na: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a) zabezpieczenie komunikacji z serwerem sterującym za pomocą TLS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b) zabezpieczenie strumienia audio za pomocą SRTP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c) zabezpieczenie całej komunikacji urządzenia (także komunikacji związanej z komputerem PC dołączonym do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urządzenia), poprzez zestawienie tunelu VPN z wbudowanego w telefon oprogramowania klienckiego VPN do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koncentratora VPN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6. Urządzenie musi na bieżąco w czasie trwania rozmowy umożliwiać wyświetlanie lokalnie na jego ekranie,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a także zdalnie poprzez przeglądarkę internetową, informacji diagnostycznych o połączeniu (rodzaj kodeka, liczba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wysłanych, odebranych i zgubionych pakietów, opóźnienie oraz zmienność opóźnienia przesyłanych pakietów: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średni i maksymalny jitter) – używane dla celów diagnostycznych w przypadku konieczności diagnozowania przez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administratorów problemów z jakością transmisji głosu w systemie telekomunikacyjnym.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7. Urządzenie musi posiadać wbudowany system głośnomówiący (tzw. speakerphone), umożliwiający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prowadzenie rozmowy bez podnoszenia słuchawki i działający w trybie full-dupleks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8. Urządzenie musi posiadać, co najmniej 5 przycisków kontekstowych z podświetleniem wbudowanym w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przycisk, których funkcje zależą od stanu (np. inne, gdy nie ma połączenia – np. przeglądanie historii połączeń, inne,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gdy jest połączenie, inne, gdy jest połączenie przychodzące, inne, gdy połączenie jest zawieszone)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9. Urządzenie musi posiadać posiadać co najmniej następujące dedykowane przyciski: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a) przycisk przekierowania rozmowy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b) przycisk zawieszenia połączenia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c) przycisk do włączenia połączenia konferencyjnego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d) przycisk dostępu do listy kontaktów w ramach systemowej lub osobistej książki telefonicznej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e) przycisk dostępu do poczty głosowej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f) przycisk dostępu do Menu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g) przycisk sterujący głośnością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h) przycisk wyłączenia mikrofonu Mute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i) przycisk do włączenia systemu nagłownego dla prowadzonej rozmowy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j) przycisk do włączenia systemu głośnomówiącego dla prowadzonej rozmowy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10. Urządzenie musi posiadać posiadać cztero-kierunkowy (góra/dół/lewo/prawo) przycisk nawigacyjny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umożliwiający poruszanie się po menu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11. Urządzenie musi umożliwiać dostęp do systemowej książki telefonicznej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12. Urządzenie musi posiadać wbudowany przełącznik Ethernet, z dwoma portami 10/100/1000 Mbps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13. Port przełącznika urządzenia w kierunku przełącznika sieciowego powinien wspierać trunking 802.1q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celem odseparowania ruchu głosu i ruchu danych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14. Urządzenie musi posiadać funkcjonalność detekcji vlanu głosowego poprzez LLDP-MED oraz negocjację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poziomu zasialnia PoE poprzez LLDP-MED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15. Transmisja głosu oraz danych z komputera PC dołączonego do urządzenia muszą być przesyłane w dwóch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różnych sieciach VLAN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16. Urządzenie musi zapewniać wsparcie dla protokołu sterującego SIP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17. Urządzenie musi posiadać menu w języku polskim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18. Urządzenie musi umożliwiać zasilanie go z sieci komputerowej LAN zgodnie ze standardem IEEE POE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(802.3af i 802.3at) oraz z wykorzystaniem lokalnych zasilaczy (transformujących napięcie z sieci 230V).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Zamawiający nie wymaga, aby telefony dostarczone były w komplecie z zasilaczami, telefony muszą jedynie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współpracować z dostępnymi na rynku zasilaczami w przypadku konieczności ich zastosowania (brak switcha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z POE).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19. Urządzenie musi obsługiwać aplikacje w języku XML, w tym aplikacje XML innych producentów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20. Urządzenie musi współpracować z Cisco Unified Communications Manager (CUCM) , w wersji co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najmniej 8.6.2 oraz wersją 11.5 i 12.0. Zamawiający posiada wystarczającą liczbę licencji do uruchomienia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telefonów będących przedmiotem zamówienia.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21. Urządzenie musi obsługiwać pobieranie oraz wymianę plików konfiguracyjnych oraz oprogramowania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z systemu zarządzania połączeniami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22. Urządzenie musi obsługiwać oprogramowanie (firmware) podpisany cyfrowo przez producenta oraz pliki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konfiguracyjne zaszyfrowane przez system zarządzania połączeniami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23. Urządzenie współpracuje z systemem zarządzania połączeniami (CUCM - Cisco Unified Communications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Manager) poprzez zarejestrowanie się w systemie w sposób umożliwiający zdalne, scentralizowane zarządzanie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i konfigurację w zakresie: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a) zmiany numeru linii abonenta,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b) edycji opisu linii abonenta,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c) konfiguracji ustawień i opisów klawiszy aparatu,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d) konfiguracji uprawnień urządzenia do posiadanych zasobów konferencyjnych,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e) konfiguracji uprawnień oraz klasy usług abonenckich,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f) wykonania zdalnego restartu urządzenia z wymuszeniem pobrania nowej konfiguracji,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g) wykonania zdalnego resetu urządzenia z wymuszeniem pobrania nowego oprogramowania (firmware) oraz nowej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konfiguracji,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h) uruchomienia w urządzeniu funkcji bezpieczeństwa (TLS oraz SRTP),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i) uruchomienia w urządzeniu serwisu logowania abonenta na telefonie,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j) dodania do urządzenia serwisów XML.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24. Urządzenie musi obsługiwać protokół IP w wersji 4 i 6 (Ipv4 oraz Ipv6)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25. Urządzenie musi posiadać możliwość konfiguracji adresu IPv4 dynamicznie (DHCP) i statycznie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26. Urządzenie musi posiadać 2 porty USB, umożliwiające podłączenie dodatkowego zestawu słuchawkowego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i/lub ładowanie smartfona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27. Urządzenie musi posiadać wbudowany interfejs radiowy Bluetooth przeznaczony do bezprzewodowego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dołączenia słuchawek Bluetooth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28. Urządzenie musi posiadać wbudowany interfejs bezprzewodowy 802.11 a/b/g/n/ac z obsługą standardu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szyfrowania WPA w wersji 1 i 2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29. Urządzenie musi posiadać kamerę wideo z przesłoną umożliwiającą zasłonięcie przesyłanego obrazu,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o rozdzielczości matrycy nie mniejszej niż standard HD 720p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30. Urządzenie musi wspierać kodek wideo H.264 i umożliwiać kodowanie i enkodowanie obrazu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o rozdzielczości co najmniej HD 720p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31. Urządzenie musi posiadać moduł rozszerzeń (przystawkę klawiszy szybkiego wybierania) o następujących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parametrach: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a) przystawka musi posiadać wyświetlacz ciekłokrystaliczny,z podświetleniem, o rozdzielczości min. 480 x 272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z 16-bitową paletą koloru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b) przystawka musi posiadać 18 fizycznych przycisków z podświetleniem wbudowanym w przycisk, sygnalizującym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stan monitorowanego numeru za pomocą kolorów (standard Cisco BLF), jednocześnie przystawka musi mieć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możliwość obsługi i monitorowania do 36 linii za pomocą przełączania stron na wyświetlaczu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c) moduł musi mieć kolor ciemny, identyczny z kolorem telefonu do którego jest dołączany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d) moduł powinien być zasilany z telefonu IP do którego jest zamontowany jako rozszerzenie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e) każdy klawisz musi mieć możliwość opisania przez informację wyświetloną na wyświetlaczu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f) przystawka musi posiadać funkcje czuwania podczas braku aktywności w celu oszczędzania energii. musi mieć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możliwość wyłączenia podświetlenia (współpraca z telefonem – wyłączenie podświetlenia przystawki musi nastąpić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w momencie wyłączenia podświetlenia głównego wyświetlacza telefonu)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g) przystawka musi mieć możliwość podłączenia kaskadowo kolejnej przystawki obok siebie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32. </w:t>
      </w:r>
      <w:r>
        <w:rPr>
          <w:rFonts w:ascii="Times New Roman" w:hAnsi="Times New Roman"/>
          <w:sz w:val="20"/>
        </w:rPr>
        <w:t>Gwarancja minimum 12 miesięcy, lecz nie mniej niż gwarancja producenta.</w:t>
      </w:r>
    </w:p>
    <w:p>
      <w:pPr>
        <w:pStyle w:val="Normal"/>
        <w:jc w:val="left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jc w:val="left"/>
        <w:rPr>
          <w:rFonts w:ascii="TimesNewRomanPS-BoldMT" w:hAnsi="TimesNewRomanPS-BoldMT"/>
          <w:b/>
          <w:b/>
          <w:sz w:val="20"/>
        </w:rPr>
      </w:pPr>
      <w:r>
        <w:rPr>
          <w:rFonts w:ascii="Times New Roman" w:hAnsi="Times New Roman"/>
          <w:b/>
          <w:sz w:val="20"/>
        </w:rPr>
        <w:t>Zasilacz do telefonów IP Cisco serii 99xx i 88xx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1. Zasilacz powinien umożliwić transformowanie napięcia przemiennego z sieci 230V do napięcia stałego 48V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2. Moc znamionowa zasilacza powinna być nie mniejsza niż 44W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3. Zasilacz powinien współpracować z telefonami IP firmy Cisco serii 99xx (9951, 9971) oraz serii 88xx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(np. 8841, 8851, 8865)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4. Zasilacz powinien zawierać w komplecie przewód do podłączenia napięcia sieciowego 230V (standard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polski)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0"/>
        </w:rPr>
        <w:t>Gwarancja minimum 12 miesięcy, lecz nie mniej niż gwarancja producenta.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Dostarczane urządzenia muszą być fabrycznie nowe (tzn. wyprodukowane nie wcześniej niż 12 miesięcy przed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dniem dostawy), nieużywane we wcześniejszych projektach, zakupywane w autoryzowanym kanale sprzedaży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Producenta na terenie Europejskiego Obszaru Gospodarczego. Zamawiający będzie wymagał wraz z dostawą</w:t>
      </w:r>
    </w:p>
    <w:p>
      <w:pPr>
        <w:pStyle w:val="Normal"/>
        <w:jc w:val="left"/>
        <w:rPr>
          <w:rFonts w:ascii="TimesNewRomanPSMT" w:hAnsi="TimesNewRomanPSMT"/>
          <w:sz w:val="20"/>
        </w:rPr>
      </w:pPr>
      <w:r>
        <w:rPr>
          <w:rFonts w:ascii="Times New Roman" w:hAnsi="Times New Roman"/>
          <w:sz w:val="20"/>
        </w:rPr>
        <w:t>stosownego potwierdzenia podpisanego przez polskie biuro przedstawiciela producenta, a jeżeli producent nie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posiada oficjalnego biura w Polsce przez przedstawiciela biura europejskiego, odpowiadającego za rynek polski.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NewRomanPS-BoldMT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27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273</TotalTime>
  <Application>LibreOffice/6.0.5.2$Windows_X86_64 LibreOffice_project/54c8cbb85f300ac59db32fe8a675ff7683cd5a16</Application>
  <Pages>4</Pages>
  <Words>1965</Words>
  <Characters>13181</Characters>
  <CharactersWithSpaces>14961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2018-10-22T14:28:53Z</dcterms:created>
  <dc:creator/>
  <dc:description/>
  <dc:language>pl-PL</dc:language>
  <cp:lastModifiedBy/>
  <cp:lastPrinted>2018-10-23T10:46:51Z</cp:lastPrinted>
  <dcterms:modified xsi:type="dcterms:W3CDTF">2018-11-05T11:13:19Z</dcterms:modified>
  <cp:revision>3</cp:revision>
  <dc:subject/>
  <dc:title/>
</cp:coreProperties>
</file>