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ZP-2380-464,468-112,117/2017</w:t>
        <w:tab/>
        <w:tab/>
        <w:tab/>
        <w:tab/>
        <w:tab/>
        <w:tab/>
        <w:tab/>
        <w:t>Załącznik nr 4 do SIWZ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Miejsca dostaw wraz z asortymentem jaki należy dostarczyć do poszczególnych odbiorców (jednostek Policji):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1.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KMP PIEKARY ŚL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- ul. Kalwaryjska 62; 41-940 Piekary Śl.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krzesło miękkie obrotowe -szt.15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KPP BIERUŃ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- ul. Turystyczna 1a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krzesło miękkie obrotowe -szt.30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3.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KMP ZABRZE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- ul. 1 Maja 10; 41-800 Zabrze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biurko 140/70/750-szt. 40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przystawka do biurka-szt.40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ubraniowa 2000/850/550-szt.40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kancelaryjna 2000/400/550-szt.60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szafka gospodarcza 600/600/400-szt.40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stół gabinetowy 3000/1000/750-szt.3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stolik okolicznościowy 800/800/750-szt.5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odbojnice venge  1400/250-300-szt.60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krzesło ISO eko-szt.20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krzesło miękkie obrotowe -szt.40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fotel finka-szt.3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krzesło gabinetowe eco-szt.20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regał magazynowy-szt.20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metalowa S1 typ 2 z 1 skarbcem-szt.2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metalowa aktowa-szt.13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szafka BHP-szt.20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wieszaki stojące-szt.10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4. </w:t>
      </w:r>
      <w:r>
        <w:rPr>
          <w:rFonts w:ascii="Times New Roman" w:hAnsi="Times New Roman"/>
          <w:b/>
          <w:bCs/>
          <w:sz w:val="22"/>
          <w:szCs w:val="22"/>
        </w:rPr>
        <w:t>KMP/KPP-magazyn-</w:t>
      </w:r>
      <w:r>
        <w:rPr>
          <w:rFonts w:ascii="Times New Roman" w:hAnsi="Times New Roman"/>
          <w:b w:val="false"/>
          <w:bCs w:val="false"/>
          <w:sz w:val="22"/>
          <w:szCs w:val="22"/>
        </w:rPr>
        <w:t>ul. Kochłowicka 4; 40-069 Katowice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biurko 140/70/750-szt.60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ubraniowa 2000/850/550-szt.60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kancelaryjna 2000/850/550-szt.60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krzesło miękkie obrotowe -szt.250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fotel dyspozytorski-szt.30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fotel gabinetowy obrotowy-szt.30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regał magazynowy-szt.250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metalowa aktowa-szt.50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szafka BHP-szt.90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5. </w:t>
      </w:r>
      <w:r>
        <w:rPr>
          <w:rFonts w:ascii="Times New Roman" w:hAnsi="Times New Roman"/>
          <w:b/>
          <w:bCs/>
          <w:sz w:val="22"/>
          <w:szCs w:val="22"/>
        </w:rPr>
        <w:t>KWP-magazyn-</w:t>
      </w:r>
      <w:r>
        <w:rPr>
          <w:rFonts w:ascii="Times New Roman" w:hAnsi="Times New Roman"/>
          <w:b w:val="false"/>
          <w:bCs w:val="false"/>
          <w:sz w:val="22"/>
          <w:szCs w:val="22"/>
        </w:rPr>
        <w:t>ul. Kochłowicka 4; 40-069 Katowice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biurko 140/70/750-szt.50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ubraniowa 2000/850/550-szt.50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kancelaryjna 2000/850/550-szt.50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krzesło miękkie obrotowe -szt.150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fotel dyspozytorski-szt.20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fotel gabinetowy obrotowy-szt.20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regał magazynowy-szt.30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metalowa S1 typ 2 z 1 skarbcem-szt.8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metalowa kartoteczna-szt.1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szafa metalowa aktowa-szt.10</w:t>
      </w:r>
    </w:p>
    <w:p>
      <w:pPr>
        <w:pStyle w:val="Normal"/>
        <w:numPr>
          <w:ilvl w:val="0"/>
          <w:numId w:val="7"/>
        </w:numPr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szafka BHP-szt.20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6.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LABORATORIUM KRYMINALISTYCZNE KWP Katowice, ul. Lompy 19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Biurko pracownicze prawe (z wolną przestrzenią pod komputer)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wym. 1400x700x750 (grusz polna calvados)</w:t>
        <w:tab/>
        <w:tab/>
        <w:tab/>
        <w:tab/>
        <w:tab/>
        <w:t>- 22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Biurko pracownicze prawe wym. 1400x700x750 (grusza polna calvados)</w:t>
        <w:tab/>
        <w:t>-   4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Szafka-kontenerek do biurka pracowniczego wym. 600x400x600 z kółkami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(grusza polna calvados)</w:t>
        <w:tab/>
        <w:tab/>
        <w:tab/>
        <w:tab/>
        <w:tab/>
        <w:tab/>
        <w:tab/>
        <w:tab/>
        <w:t>- 13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Szafka do biurka pracowniczego wym. 500x700x750 (grusza polna calvados)</w:t>
        <w:tab/>
        <w:t>-   6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Stół prostokątny wym. 800x600x700 (grusza polna calvados)</w:t>
        <w:tab/>
        <w:tab/>
        <w:tab/>
        <w:t>- 15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Stół prostokątny wym. 2000x800x700 (grusza polna calvados)</w:t>
        <w:tab/>
        <w:tab/>
        <w:tab/>
        <w:t>-   1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 Półki wiszące (grusza polna calvados) wym. 1000x700</w:t>
        <w:tab/>
        <w:tab/>
        <w:tab/>
        <w:tab/>
        <w:t>-   3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8. Szafa ubraniowa pracownicza wym. 1800x800x500 (grusza polna calvados)</w:t>
        <w:tab/>
        <w:t>- 17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9. Szafa kancelaryjna pracownicza wym. 1800x800x500 (grusza polna calvados) – 10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10. </w:t>
      </w:r>
      <w:r>
        <w:rPr>
          <w:rFonts w:ascii="Times New Roman" w:hAnsi="Times New Roman"/>
          <w:b w:val="false"/>
          <w:bCs w:val="false"/>
          <w:sz w:val="24"/>
          <w:szCs w:val="24"/>
        </w:rPr>
        <w:t>Krzesło miękkie obrotowe – grafit</w:t>
        <w:tab/>
        <w:tab/>
        <w:tab/>
        <w:tab/>
        <w:tab/>
        <w:tab/>
        <w:t>- 60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11. Krzesło miękkie typu ISO eko skóra kolor brąz ciemny</w:t>
        <w:tab/>
        <w:tab/>
        <w:tab/>
        <w:tab/>
        <w:t>-   8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12. Szafa metalowa aktowa z 1 skarbcem S1 Typ1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(wym. 1850-1900x1000-1100x450-500)  popiel</w:t>
        <w:tab/>
        <w:tab/>
        <w:tab/>
        <w:tab/>
        <w:tab/>
        <w:t>- 11 szt.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13. Szafa ubraniowa metalowa BHP wym. 1800x800x500 popiel</w:t>
        <w:tab/>
        <w:tab/>
        <w:tab/>
        <w:t>- 5 szt.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b w:val="false"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  <w:b w:val="false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b w:val="false"/>
      <w:sz w:val="22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b w:val="false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LibreOffice/5.4.1.2$Windows_X86_64 LibreOffice_project/ea7cb86e6eeb2bf3a5af73a8f7777ac570321527</Application>
  <Pages>2</Pages>
  <Words>385</Words>
  <Characters>2387</Characters>
  <CharactersWithSpaces>2735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2017-10-23T10:46:49Z</dcterms:created>
  <dc:creator/>
  <dc:description/>
  <dc:language>pl-PL</dc:language>
  <cp:lastModifiedBy/>
  <dcterms:modified xsi:type="dcterms:W3CDTF">2017-10-25T10:53:26Z</dcterms:modified>
  <cp:revision>5</cp:revision>
  <dc:subject/>
  <dc:title/>
</cp:coreProperties>
</file>